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rtl w:val="0"/>
        </w:rPr>
        <w:t xml:space="preserve">96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 </w:t>
      </w:r>
      <w:r w:rsidDel="00000000" w:rsidR="00000000" w:rsidRPr="00000000">
        <w:rPr>
          <w:rtl w:val="0"/>
        </w:rPr>
        <w:t xml:space="preserve">Diego Taquini de Araújo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23108.0</w:t>
      </w:r>
      <w:r w:rsidDel="00000000" w:rsidR="00000000" w:rsidRPr="00000000">
        <w:rPr>
          <w:rtl w:val="0"/>
        </w:rPr>
        <w:t xml:space="preserve">21671/2023-14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rtl w:val="0"/>
        </w:rPr>
        <w:t xml:space="preserve">Diego Taquini de Araújo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de Sinop, da Universidade Federal de Mato Grosso, com mandato no período 29/09/2025 a 28/09/2026.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-252723</wp:posOffset>
          </wp:positionV>
          <wp:extent cx="909955" cy="8769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HffsnYci+0GYrUkX5ADH9gDhw==">CgMxLjA4AHIhMUxpdGlpZHdfVU1iSXNEaXdfWVFESFRGM21hVlUtUm9G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