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b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SETEMBRO</w:t>
      </w:r>
      <w:r w:rsidDel="00000000" w:rsidR="00000000" w:rsidRPr="00000000">
        <w:rPr>
          <w:b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 docente</w:t>
      </w:r>
      <w:r w:rsidDel="00000000" w:rsidR="00000000" w:rsidRPr="00000000">
        <w:rPr>
          <w:rtl w:val="0"/>
        </w:rPr>
        <w:t xml:space="preserve"> Ulisses Carlos Silva Ferreira</w:t>
      </w:r>
      <w:r w:rsidDel="00000000" w:rsidR="00000000" w:rsidRPr="00000000">
        <w:rPr>
          <w:vertAlign w:val="baseline"/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2323108.</w:t>
      </w:r>
      <w:r w:rsidDel="00000000" w:rsidR="00000000" w:rsidRPr="00000000">
        <w:rPr>
          <w:rtl w:val="0"/>
        </w:rPr>
        <w:t xml:space="preserve">056900/2025-75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docente </w:t>
      </w:r>
      <w:r w:rsidDel="00000000" w:rsidR="00000000" w:rsidRPr="00000000">
        <w:rPr>
          <w:b w:val="1"/>
          <w:rtl w:val="0"/>
        </w:rPr>
        <w:t xml:space="preserve">Ulisses Carlos Silva Ferreira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 da Universidade Federal de Mato Grosso, como representante d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Instituto de Ciências Extas e da Terra - ICET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de Mato Grosso, com mandato de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 a 2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/2027.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</w:t>
      </w:r>
      <w:r w:rsidDel="00000000" w:rsidR="00000000" w:rsidRPr="00000000">
        <w:rPr>
          <w:rtl w:val="0"/>
        </w:rPr>
        <w:t xml:space="preserve">epe em exercício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-252726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BWq1hv/a/22a92QR/EqAJnwhw==">CgMxLjA4AHIhMXlZb3R6V2tQZHVUcDNoZ3BtZ0F2bnM0Y0tiQU8zczJs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2025-06-28T00:56:00Z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